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7E" w:rsidRPr="00F6137E" w:rsidRDefault="00F6137E" w:rsidP="00F6137E">
      <w:pPr>
        <w:tabs>
          <w:tab w:val="left" w:pos="1040"/>
        </w:tabs>
        <w:spacing w:before="10"/>
        <w:ind w:left="284"/>
        <w:jc w:val="center"/>
        <w:rPr>
          <w:b/>
          <w:color w:val="244061" w:themeColor="accent1" w:themeShade="80"/>
          <w:sz w:val="32"/>
          <w:szCs w:val="32"/>
        </w:rPr>
      </w:pPr>
      <w:r w:rsidRPr="00F6137E">
        <w:rPr>
          <w:b/>
          <w:color w:val="244061" w:themeColor="accent1" w:themeShade="80"/>
          <w:sz w:val="32"/>
          <w:szCs w:val="32"/>
        </w:rPr>
        <w:t>Условия реализации оздоровительной программы</w:t>
      </w:r>
    </w:p>
    <w:p w:rsidR="00F6137E" w:rsidRPr="00F6137E" w:rsidRDefault="00F6137E" w:rsidP="00F6137E">
      <w:pPr>
        <w:spacing w:before="10"/>
        <w:ind w:left="284"/>
        <w:jc w:val="center"/>
        <w:rPr>
          <w:b/>
          <w:bCs/>
          <w:color w:val="244061" w:themeColor="accent1" w:themeShade="80"/>
          <w:sz w:val="27"/>
          <w:szCs w:val="27"/>
        </w:rPr>
      </w:pPr>
    </w:p>
    <w:p w:rsidR="00F6137E" w:rsidRPr="00F6137E" w:rsidRDefault="00F6137E" w:rsidP="00F6137E">
      <w:pPr>
        <w:spacing w:before="10"/>
        <w:ind w:left="720"/>
        <w:jc w:val="center"/>
        <w:rPr>
          <w:b/>
          <w:color w:val="244061" w:themeColor="accent1" w:themeShade="80"/>
        </w:rPr>
      </w:pPr>
      <w:r w:rsidRPr="00F6137E">
        <w:rPr>
          <w:b/>
          <w:bCs/>
          <w:color w:val="244061" w:themeColor="accent1" w:themeShade="80"/>
          <w:sz w:val="27"/>
          <w:szCs w:val="27"/>
        </w:rPr>
        <w:t>Взаимодействие всех участников образовательного процесса</w:t>
      </w:r>
      <w:r w:rsidRPr="00F6137E">
        <w:rPr>
          <w:b/>
          <w:color w:val="244061" w:themeColor="accent1" w:themeShade="80"/>
        </w:rPr>
        <w:t xml:space="preserve"> </w:t>
      </w:r>
      <w:r w:rsidRPr="00F6137E">
        <w:rPr>
          <w:b/>
          <w:bCs/>
          <w:color w:val="244061" w:themeColor="accent1" w:themeShade="80"/>
          <w:sz w:val="27"/>
          <w:szCs w:val="27"/>
        </w:rPr>
        <w:t xml:space="preserve">в физкультурно-оздоровительном направлении </w:t>
      </w:r>
    </w:p>
    <w:p w:rsidR="00F6137E" w:rsidRDefault="00F6137E" w:rsidP="00F6137E">
      <w:pPr>
        <w:tabs>
          <w:tab w:val="left" w:pos="1040"/>
        </w:tabs>
        <w:spacing w:before="10"/>
        <w:ind w:left="284"/>
      </w:pP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5"/>
        <w:gridCol w:w="3031"/>
        <w:gridCol w:w="2946"/>
        <w:gridCol w:w="2546"/>
        <w:gridCol w:w="2974"/>
      </w:tblGrid>
      <w:tr w:rsidR="00F6137E" w:rsidRPr="00F6137E" w:rsidTr="002E5F8A">
        <w:trPr>
          <w:trHeight w:val="860"/>
        </w:trPr>
        <w:tc>
          <w:tcPr>
            <w:tcW w:w="2731" w:type="dxa"/>
          </w:tcPr>
          <w:p w:rsidR="00F6137E" w:rsidRPr="00F6137E" w:rsidRDefault="00F6137E" w:rsidP="002E5F8A">
            <w:pPr>
              <w:spacing w:before="10"/>
              <w:ind w:left="284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color w:val="244061" w:themeColor="accent1" w:themeShade="80"/>
                <w:sz w:val="28"/>
                <w:szCs w:val="28"/>
              </w:rPr>
              <w:t>Компоненты деятельности</w:t>
            </w:r>
          </w:p>
        </w:tc>
        <w:tc>
          <w:tcPr>
            <w:tcW w:w="3057" w:type="dxa"/>
          </w:tcPr>
          <w:p w:rsidR="00F6137E" w:rsidRPr="00F6137E" w:rsidRDefault="00F6137E" w:rsidP="002E5F8A">
            <w:pPr>
              <w:spacing w:before="10"/>
              <w:ind w:left="284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bCs/>
                <w:color w:val="244061" w:themeColor="accent1" w:themeShade="80"/>
                <w:sz w:val="28"/>
                <w:szCs w:val="28"/>
              </w:rPr>
              <w:t>Педагогические сотрудники</w:t>
            </w:r>
          </w:p>
          <w:p w:rsidR="00F6137E" w:rsidRPr="00F6137E" w:rsidRDefault="00F6137E" w:rsidP="002E5F8A">
            <w:pPr>
              <w:spacing w:before="10"/>
              <w:ind w:left="284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bCs/>
                <w:color w:val="244061" w:themeColor="accent1" w:themeShade="80"/>
                <w:sz w:val="28"/>
                <w:szCs w:val="28"/>
              </w:rPr>
              <w:t>и специалисты</w:t>
            </w:r>
          </w:p>
        </w:tc>
        <w:tc>
          <w:tcPr>
            <w:tcW w:w="2977" w:type="dxa"/>
          </w:tcPr>
          <w:p w:rsidR="00F6137E" w:rsidRPr="00F6137E" w:rsidRDefault="00F6137E" w:rsidP="002E5F8A">
            <w:pPr>
              <w:spacing w:before="10"/>
              <w:ind w:left="284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color w:val="244061" w:themeColor="accent1" w:themeShade="80"/>
                <w:sz w:val="28"/>
                <w:szCs w:val="28"/>
              </w:rPr>
              <w:t>Медицинский персонал</w:t>
            </w:r>
          </w:p>
        </w:tc>
        <w:tc>
          <w:tcPr>
            <w:tcW w:w="2551" w:type="dxa"/>
          </w:tcPr>
          <w:p w:rsidR="00F6137E" w:rsidRPr="00F6137E" w:rsidRDefault="00F6137E" w:rsidP="002E5F8A">
            <w:pPr>
              <w:spacing w:before="10"/>
              <w:ind w:left="284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color w:val="244061" w:themeColor="accent1" w:themeShade="80"/>
                <w:sz w:val="28"/>
                <w:szCs w:val="28"/>
              </w:rPr>
              <w:t>Администрация</w:t>
            </w:r>
          </w:p>
        </w:tc>
        <w:tc>
          <w:tcPr>
            <w:tcW w:w="3015" w:type="dxa"/>
          </w:tcPr>
          <w:p w:rsidR="00F6137E" w:rsidRPr="00F6137E" w:rsidRDefault="00F6137E" w:rsidP="002E5F8A">
            <w:pPr>
              <w:spacing w:before="10"/>
              <w:ind w:left="284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color w:val="244061" w:themeColor="accent1" w:themeShade="80"/>
                <w:sz w:val="28"/>
                <w:szCs w:val="28"/>
              </w:rPr>
              <w:t>Родители</w:t>
            </w:r>
          </w:p>
        </w:tc>
      </w:tr>
      <w:tr w:rsidR="00F6137E" w:rsidRPr="00F6137E" w:rsidTr="002E5F8A">
        <w:trPr>
          <w:trHeight w:val="2822"/>
        </w:trPr>
        <w:tc>
          <w:tcPr>
            <w:tcW w:w="2731" w:type="dxa"/>
          </w:tcPr>
          <w:p w:rsidR="00F6137E" w:rsidRPr="00F6137E" w:rsidRDefault="00F6137E" w:rsidP="002E5F8A">
            <w:pPr>
              <w:numPr>
                <w:ilvl w:val="0"/>
                <w:numId w:val="1"/>
              </w:num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color w:val="244061" w:themeColor="accent1" w:themeShade="80"/>
                <w:sz w:val="28"/>
                <w:szCs w:val="28"/>
              </w:rPr>
              <w:t>1. Адаптация</w:t>
            </w:r>
          </w:p>
        </w:tc>
        <w:tc>
          <w:tcPr>
            <w:tcW w:w="305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Создают эмоционально положительный фон. Оказывают эмоциональную поддержку. Формируют навыки. Узнают как можно больше об особенностях воспитания в семье</w:t>
            </w:r>
          </w:p>
        </w:tc>
        <w:tc>
          <w:tcPr>
            <w:tcW w:w="297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Собирают информацию об особенностях физического здоровья ребенка. Оказывают консультативную помощь педагогам по состоянию здоровья ребенка, родителя</w:t>
            </w:r>
            <w:proofErr w:type="gramStart"/>
            <w:r w:rsidRPr="00F6137E">
              <w:rPr>
                <w:color w:val="244061" w:themeColor="accent1" w:themeShade="80"/>
              </w:rPr>
              <w:t>м-</w:t>
            </w:r>
            <w:proofErr w:type="gramEnd"/>
            <w:r w:rsidRPr="00F6137E">
              <w:rPr>
                <w:color w:val="244061" w:themeColor="accent1" w:themeShade="80"/>
              </w:rPr>
              <w:t xml:space="preserve"> по адаптации к условиям детского сада</w:t>
            </w:r>
          </w:p>
        </w:tc>
        <w:tc>
          <w:tcPr>
            <w:tcW w:w="2551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Координирует работу медицинской, педагогической и психологической служб с целью обеспечения щадящей адаптации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  <w:tc>
          <w:tcPr>
            <w:tcW w:w="3015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Эмоционально поддерживают ребенка Подробно и точно отвечают на все вопросы педагогов о ребенке. Выполняют рекомендации педагогов.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</w:tr>
      <w:tr w:rsidR="00F6137E" w:rsidRPr="00F6137E" w:rsidTr="002E5F8A">
        <w:trPr>
          <w:trHeight w:val="412"/>
        </w:trPr>
        <w:tc>
          <w:tcPr>
            <w:tcW w:w="2731" w:type="dxa"/>
          </w:tcPr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bCs/>
                <w:color w:val="244061" w:themeColor="accent1" w:themeShade="80"/>
                <w:sz w:val="28"/>
                <w:szCs w:val="28"/>
              </w:rPr>
              <w:t>2. Создание условий для физического и психологического комфорта ребенка в детском саду</w:t>
            </w:r>
          </w:p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305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 xml:space="preserve">Реализуют систему проведения режимных мероприятий в соответствии с санитарно-гигиеническими нормами. Создают благоприятный психологический климат в группе. Осуществляют личностно-ориентированный способ взаимодействия с ребенком. Оказывают консультативную помощь родителям по выработке единых требований к </w:t>
            </w:r>
            <w:r w:rsidRPr="00F6137E">
              <w:rPr>
                <w:color w:val="244061" w:themeColor="accent1" w:themeShade="80"/>
              </w:rPr>
              <w:lastRenderedPageBreak/>
              <w:t>ребенку</w:t>
            </w:r>
          </w:p>
        </w:tc>
        <w:tc>
          <w:tcPr>
            <w:tcW w:w="297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lastRenderedPageBreak/>
              <w:t xml:space="preserve">Обеспечивают рациональный режим сна и питания и выполнение требований </w:t>
            </w:r>
            <w:proofErr w:type="spellStart"/>
            <w:r w:rsidRPr="00F6137E">
              <w:rPr>
                <w:color w:val="244061" w:themeColor="accent1" w:themeShade="80"/>
              </w:rPr>
              <w:t>СанПиНа</w:t>
            </w:r>
            <w:proofErr w:type="spellEnd"/>
            <w:r w:rsidRPr="00F6137E">
              <w:rPr>
                <w:color w:val="244061" w:themeColor="accent1" w:themeShade="80"/>
              </w:rPr>
              <w:t xml:space="preserve"> 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  <w:tc>
          <w:tcPr>
            <w:tcW w:w="2551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Обеспечивает руководство и контроль по созданию условий для физического и психологического комфорта ребенка в детском саду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  <w:tc>
          <w:tcPr>
            <w:tcW w:w="3015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Соблюдают дома режим сна и питания, принятые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в детском саду.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</w:tr>
      <w:tr w:rsidR="00F6137E" w:rsidRPr="00F6137E" w:rsidTr="002E5F8A">
        <w:trPr>
          <w:trHeight w:val="2396"/>
        </w:trPr>
        <w:tc>
          <w:tcPr>
            <w:tcW w:w="2731" w:type="dxa"/>
          </w:tcPr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bCs/>
                <w:color w:val="244061" w:themeColor="accent1" w:themeShade="80"/>
                <w:sz w:val="28"/>
                <w:szCs w:val="28"/>
              </w:rPr>
              <w:lastRenderedPageBreak/>
              <w:t>3.Соблюдение режима двигательной активности</w:t>
            </w:r>
          </w:p>
        </w:tc>
        <w:tc>
          <w:tcPr>
            <w:tcW w:w="305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Создают условия для спонтанной двигательной активности в группе и на прогулке. Проводят физкультминутки, дыхательную гимнастику, гимнастику после дневного сна, гимнастику для глаз.</w:t>
            </w:r>
          </w:p>
        </w:tc>
        <w:tc>
          <w:tcPr>
            <w:tcW w:w="297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 xml:space="preserve">Осуществляют </w:t>
            </w:r>
            <w:proofErr w:type="spellStart"/>
            <w:proofErr w:type="gramStart"/>
            <w:r w:rsidRPr="00F6137E">
              <w:rPr>
                <w:color w:val="244061" w:themeColor="accent1" w:themeShade="80"/>
              </w:rPr>
              <w:t>медико</w:t>
            </w:r>
            <w:proofErr w:type="spellEnd"/>
            <w:r w:rsidRPr="00F6137E">
              <w:rPr>
                <w:color w:val="244061" w:themeColor="accent1" w:themeShade="80"/>
              </w:rPr>
              <w:t xml:space="preserve"> – педагогический</w:t>
            </w:r>
            <w:proofErr w:type="gramEnd"/>
            <w:r w:rsidRPr="00F6137E">
              <w:rPr>
                <w:color w:val="244061" w:themeColor="accent1" w:themeShade="80"/>
              </w:rPr>
              <w:t xml:space="preserve"> контроль за соблюдением режима двигательной активности</w:t>
            </w:r>
          </w:p>
          <w:p w:rsidR="00F6137E" w:rsidRPr="00F6137E" w:rsidRDefault="00F6137E" w:rsidP="002E5F8A">
            <w:pPr>
              <w:spacing w:before="10"/>
              <w:jc w:val="center"/>
              <w:rPr>
                <w:color w:val="244061" w:themeColor="accent1" w:themeShade="80"/>
              </w:rPr>
            </w:pP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  <w:tc>
          <w:tcPr>
            <w:tcW w:w="2551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 xml:space="preserve">Осуществляют </w:t>
            </w:r>
            <w:proofErr w:type="spellStart"/>
            <w:proofErr w:type="gramStart"/>
            <w:r w:rsidRPr="00F6137E">
              <w:rPr>
                <w:color w:val="244061" w:themeColor="accent1" w:themeShade="80"/>
              </w:rPr>
              <w:t>медико</w:t>
            </w:r>
            <w:proofErr w:type="spellEnd"/>
            <w:r w:rsidRPr="00F6137E">
              <w:rPr>
                <w:color w:val="244061" w:themeColor="accent1" w:themeShade="80"/>
              </w:rPr>
              <w:t xml:space="preserve"> – педагогический</w:t>
            </w:r>
            <w:proofErr w:type="gramEnd"/>
            <w:r w:rsidRPr="00F6137E">
              <w:rPr>
                <w:color w:val="244061" w:themeColor="accent1" w:themeShade="80"/>
              </w:rPr>
              <w:t xml:space="preserve"> контроль за соблюдением режима двигательной активности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  <w:tc>
          <w:tcPr>
            <w:tcW w:w="3015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Соблюдают режим прогулок, дают возможность во время прогулок свободно двигаться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</w:tr>
      <w:tr w:rsidR="00F6137E" w:rsidRPr="00F6137E" w:rsidTr="002E5F8A">
        <w:trPr>
          <w:trHeight w:val="1540"/>
        </w:trPr>
        <w:tc>
          <w:tcPr>
            <w:tcW w:w="2731" w:type="dxa"/>
          </w:tcPr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bCs/>
                <w:color w:val="244061" w:themeColor="accent1" w:themeShade="80"/>
                <w:sz w:val="28"/>
                <w:szCs w:val="28"/>
              </w:rPr>
              <w:t>4.Занятия физической культурой, спортивные праздники и досуги</w:t>
            </w:r>
          </w:p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305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 xml:space="preserve">Соблюдают программные и возрастные требования при организации и проведении физкультурных занятий и утренней гимнастики. Консультируют родителей. Осуществляют индивидуальный подход к детям </w:t>
            </w:r>
          </w:p>
        </w:tc>
        <w:tc>
          <w:tcPr>
            <w:tcW w:w="297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 xml:space="preserve">Контролируют соблюдение санитарно-гигиенических норм проведения занятий, моторную плотность, эффект </w:t>
            </w:r>
            <w:proofErr w:type="spellStart"/>
            <w:r w:rsidRPr="00F6137E">
              <w:rPr>
                <w:color w:val="244061" w:themeColor="accent1" w:themeShade="80"/>
              </w:rPr>
              <w:t>тренируемости</w:t>
            </w:r>
            <w:proofErr w:type="spellEnd"/>
            <w:r w:rsidRPr="00F6137E">
              <w:rPr>
                <w:color w:val="244061" w:themeColor="accent1" w:themeShade="80"/>
              </w:rPr>
              <w:t xml:space="preserve"> организма</w:t>
            </w:r>
          </w:p>
          <w:p w:rsidR="00F6137E" w:rsidRPr="00F6137E" w:rsidRDefault="00F6137E" w:rsidP="002E5F8A">
            <w:pPr>
              <w:spacing w:before="10"/>
              <w:jc w:val="center"/>
              <w:rPr>
                <w:color w:val="244061" w:themeColor="accent1" w:themeShade="80"/>
              </w:rPr>
            </w:pP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  <w:tc>
          <w:tcPr>
            <w:tcW w:w="2551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Создают материально-технические условия, обеспечивающие качественное проведение занятий физической культурой</w:t>
            </w:r>
          </w:p>
        </w:tc>
        <w:tc>
          <w:tcPr>
            <w:tcW w:w="3015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Поддерживают интерес ребенка. Приобщаются к физической культуре.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Активно участвуют в мероприятиях</w:t>
            </w:r>
          </w:p>
          <w:p w:rsidR="00F6137E" w:rsidRPr="00F6137E" w:rsidRDefault="00F6137E" w:rsidP="002E5F8A">
            <w:pPr>
              <w:spacing w:before="10"/>
              <w:jc w:val="center"/>
              <w:rPr>
                <w:color w:val="244061" w:themeColor="accent1" w:themeShade="80"/>
              </w:rPr>
            </w:pP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</w:tr>
      <w:tr w:rsidR="00F6137E" w:rsidRPr="00F6137E" w:rsidTr="002E5F8A">
        <w:trPr>
          <w:trHeight w:val="1340"/>
        </w:trPr>
        <w:tc>
          <w:tcPr>
            <w:tcW w:w="2731" w:type="dxa"/>
          </w:tcPr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bCs/>
                <w:color w:val="244061" w:themeColor="accent1" w:themeShade="80"/>
                <w:sz w:val="28"/>
                <w:szCs w:val="28"/>
              </w:rPr>
              <w:t xml:space="preserve">5.Формирование основ </w:t>
            </w:r>
            <w:proofErr w:type="gramStart"/>
            <w:r w:rsidRPr="00F6137E">
              <w:rPr>
                <w:bCs/>
                <w:color w:val="244061" w:themeColor="accent1" w:themeShade="80"/>
                <w:sz w:val="28"/>
                <w:szCs w:val="28"/>
              </w:rPr>
              <w:t>здорового</w:t>
            </w:r>
            <w:proofErr w:type="gramEnd"/>
            <w:r w:rsidRPr="00F6137E">
              <w:rPr>
                <w:bCs/>
                <w:color w:val="244061" w:themeColor="accent1" w:themeShade="80"/>
                <w:sz w:val="28"/>
                <w:szCs w:val="28"/>
              </w:rPr>
              <w:t xml:space="preserve"> образ жизни</w:t>
            </w:r>
          </w:p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305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Формируют культурно-гигиенические навыки на занятиях и во время режимных моментов.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Формируют привычку к здоровому образу жизни на занятиях</w:t>
            </w:r>
          </w:p>
        </w:tc>
        <w:tc>
          <w:tcPr>
            <w:tcW w:w="297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Осуществляют контроль над работой педагогов по формированию культурно-гигиенических навыков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  <w:tc>
          <w:tcPr>
            <w:tcW w:w="2551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Создает условия для безопасного труда и безопасности жизнедеятельности детей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  <w:tc>
          <w:tcPr>
            <w:tcW w:w="3015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Поддерживают привычки, вырабатываемые в детском саду</w:t>
            </w:r>
          </w:p>
          <w:p w:rsidR="00F6137E" w:rsidRPr="00F6137E" w:rsidRDefault="00F6137E" w:rsidP="002E5F8A">
            <w:pPr>
              <w:spacing w:before="10"/>
              <w:jc w:val="center"/>
              <w:rPr>
                <w:color w:val="244061" w:themeColor="accent1" w:themeShade="80"/>
              </w:rPr>
            </w:pP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</w:tr>
      <w:tr w:rsidR="00F6137E" w:rsidRPr="00F6137E" w:rsidTr="002E5F8A">
        <w:trPr>
          <w:trHeight w:val="412"/>
        </w:trPr>
        <w:tc>
          <w:tcPr>
            <w:tcW w:w="2731" w:type="dxa"/>
          </w:tcPr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bCs/>
                <w:color w:val="244061" w:themeColor="accent1" w:themeShade="80"/>
                <w:sz w:val="28"/>
                <w:szCs w:val="28"/>
              </w:rPr>
              <w:t>6.Закаливание</w:t>
            </w:r>
          </w:p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</w:p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305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 xml:space="preserve">Обеспечивают систематичность, качество закаливающих процедур. Консультируют родителей по профилактике заболеваний в домашних </w:t>
            </w:r>
            <w:r w:rsidRPr="00F6137E">
              <w:rPr>
                <w:color w:val="244061" w:themeColor="accent1" w:themeShade="80"/>
              </w:rPr>
              <w:lastRenderedPageBreak/>
              <w:t>условиях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  <w:tc>
          <w:tcPr>
            <w:tcW w:w="297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lastRenderedPageBreak/>
              <w:t>Разрабатывают и внедряют комплекс закаливающих процедур, адаптировав их к условиям ДОУ.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lastRenderedPageBreak/>
              <w:t>Разрабатывает профилактические мероприятия в период эпидемий. Назначает процедуры для ослабленных детей</w:t>
            </w:r>
          </w:p>
        </w:tc>
        <w:tc>
          <w:tcPr>
            <w:tcW w:w="2551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lastRenderedPageBreak/>
              <w:t xml:space="preserve">Осуществляют контроль над проведением закаливающих процедур, анализируют </w:t>
            </w:r>
            <w:r w:rsidRPr="00F6137E">
              <w:rPr>
                <w:color w:val="244061" w:themeColor="accent1" w:themeShade="80"/>
              </w:rPr>
              <w:lastRenderedPageBreak/>
              <w:t>эффективность их применения</w:t>
            </w:r>
          </w:p>
        </w:tc>
        <w:tc>
          <w:tcPr>
            <w:tcW w:w="3015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lastRenderedPageBreak/>
              <w:t>Обеспечивают непрерывность закаливающих процедур в дни непосещения ребенком ДОУ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</w:tr>
      <w:tr w:rsidR="00F6137E" w:rsidRPr="00F6137E" w:rsidTr="002E5F8A">
        <w:trPr>
          <w:trHeight w:val="695"/>
        </w:trPr>
        <w:tc>
          <w:tcPr>
            <w:tcW w:w="2731" w:type="dxa"/>
          </w:tcPr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bCs/>
                <w:color w:val="244061" w:themeColor="accent1" w:themeShade="80"/>
                <w:sz w:val="28"/>
                <w:szCs w:val="28"/>
              </w:rPr>
              <w:lastRenderedPageBreak/>
              <w:t>7.Фитонцидотерапия</w:t>
            </w:r>
          </w:p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bCs/>
                <w:color w:val="244061" w:themeColor="accent1" w:themeShade="80"/>
                <w:sz w:val="28"/>
                <w:szCs w:val="28"/>
              </w:rPr>
              <w:t>Витаминотерапия, полоскание рта и горла</w:t>
            </w:r>
          </w:p>
          <w:p w:rsidR="00F6137E" w:rsidRPr="00F6137E" w:rsidRDefault="00F6137E" w:rsidP="002E5F8A">
            <w:pPr>
              <w:spacing w:before="10"/>
              <w:ind w:left="284"/>
              <w:jc w:val="center"/>
              <w:rPr>
                <w:color w:val="244061" w:themeColor="accent1" w:themeShade="80"/>
                <w:sz w:val="28"/>
                <w:szCs w:val="28"/>
              </w:rPr>
            </w:pPr>
          </w:p>
          <w:p w:rsidR="00F6137E" w:rsidRPr="00F6137E" w:rsidRDefault="00F6137E" w:rsidP="002E5F8A">
            <w:pPr>
              <w:spacing w:before="10"/>
              <w:ind w:left="284"/>
              <w:rPr>
                <w:b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305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Реализуют мероприятия, запланированные медперсоналом</w:t>
            </w:r>
            <w:proofErr w:type="gramStart"/>
            <w:r w:rsidRPr="00F6137E">
              <w:rPr>
                <w:color w:val="244061" w:themeColor="accent1" w:themeShade="80"/>
              </w:rPr>
              <w:t xml:space="preserve"> О</w:t>
            </w:r>
            <w:proofErr w:type="gramEnd"/>
            <w:r w:rsidRPr="00F6137E">
              <w:rPr>
                <w:color w:val="244061" w:themeColor="accent1" w:themeShade="80"/>
              </w:rPr>
              <w:t>существляют индивидуальный подход к ослабленным детям</w:t>
            </w:r>
          </w:p>
        </w:tc>
        <w:tc>
          <w:tcPr>
            <w:tcW w:w="297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Осуществляют контроль над проведением, анализируют эффективность процедур.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Разрабатывает профилактические мероприятия в период эпидемий. Назначает процедуры для ослабленных детей</w:t>
            </w:r>
          </w:p>
        </w:tc>
        <w:tc>
          <w:tcPr>
            <w:tcW w:w="2551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Обеспечивает материально-технические условия для проведения соответствующих процедур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  <w:tc>
          <w:tcPr>
            <w:tcW w:w="3015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Обеспечивают систематическое посещение ребенком детского сада.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</w:tr>
      <w:tr w:rsidR="00F6137E" w:rsidRPr="00F6137E" w:rsidTr="002E5F8A">
        <w:trPr>
          <w:trHeight w:val="695"/>
        </w:trPr>
        <w:tc>
          <w:tcPr>
            <w:tcW w:w="2731" w:type="dxa"/>
          </w:tcPr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bCs/>
                <w:color w:val="244061" w:themeColor="accent1" w:themeShade="80"/>
                <w:sz w:val="28"/>
                <w:szCs w:val="28"/>
              </w:rPr>
              <w:t>8. Профилактика нарушений осанки и стопы</w:t>
            </w:r>
          </w:p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305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Включают в физкультурные занятия, утреннюю гимнастику, в гимнастику после дневного сна упражнения на укрепления мышц спины и стопы. Чередуют деятельность, дающую интенсивную нагрузку на зрение, с двигательной активностью. Следят за обувью и позой детей за столом</w:t>
            </w:r>
          </w:p>
        </w:tc>
        <w:tc>
          <w:tcPr>
            <w:tcW w:w="297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Проводят диагностику состояния зрения у детей, состояния стопы и осанки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  <w:tc>
          <w:tcPr>
            <w:tcW w:w="2551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Контролирует освещенность в групповых помещениях, выполнение санитарно-гигиенических требований на занятиях</w:t>
            </w:r>
            <w:proofErr w:type="gramStart"/>
            <w:r w:rsidRPr="00F6137E">
              <w:rPr>
                <w:color w:val="244061" w:themeColor="accent1" w:themeShade="80"/>
              </w:rPr>
              <w:t>.</w:t>
            </w:r>
            <w:proofErr w:type="gramEnd"/>
            <w:r w:rsidRPr="00F6137E">
              <w:rPr>
                <w:color w:val="244061" w:themeColor="accent1" w:themeShade="80"/>
              </w:rPr>
              <w:t xml:space="preserve"> </w:t>
            </w:r>
            <w:proofErr w:type="gramStart"/>
            <w:r w:rsidRPr="00F6137E">
              <w:rPr>
                <w:color w:val="244061" w:themeColor="accent1" w:themeShade="80"/>
              </w:rPr>
              <w:t>д</w:t>
            </w:r>
            <w:proofErr w:type="gramEnd"/>
            <w:r w:rsidRPr="00F6137E">
              <w:rPr>
                <w:color w:val="244061" w:themeColor="accent1" w:themeShade="80"/>
              </w:rPr>
              <w:t xml:space="preserve">ля детей. Следит за состоянием мебели 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  <w:tc>
          <w:tcPr>
            <w:tcW w:w="3015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Выполняют медицинские и педагогические рекомендации.</w:t>
            </w: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</w:p>
        </w:tc>
      </w:tr>
      <w:tr w:rsidR="00F6137E" w:rsidRPr="00F6137E" w:rsidTr="002E5F8A">
        <w:trPr>
          <w:trHeight w:val="1280"/>
        </w:trPr>
        <w:tc>
          <w:tcPr>
            <w:tcW w:w="2731" w:type="dxa"/>
          </w:tcPr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F6137E">
              <w:rPr>
                <w:bCs/>
                <w:color w:val="244061" w:themeColor="accent1" w:themeShade="80"/>
                <w:sz w:val="28"/>
                <w:szCs w:val="28"/>
              </w:rPr>
              <w:lastRenderedPageBreak/>
              <w:t>9.Летняя оздоровительная работа</w:t>
            </w:r>
          </w:p>
          <w:p w:rsidR="00F6137E" w:rsidRPr="00F6137E" w:rsidRDefault="00F6137E" w:rsidP="002E5F8A">
            <w:pPr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305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Обеспечивают максимальное пребывание детей на свежем воздухе. Организуют активный отдых на прогулке, походы и экскурсии на природу. Дают знания и формируют навыки безопасного поведения на природе.</w:t>
            </w:r>
          </w:p>
        </w:tc>
        <w:tc>
          <w:tcPr>
            <w:tcW w:w="2977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Консультируют педагогов и родителей по обеспечению безопасности детей в летний период (солнечный удар, укусы насекомых, отравления грибами и ягодами). Оказывают первую помощь. Следят за витаминизацией блюд.</w:t>
            </w:r>
          </w:p>
        </w:tc>
        <w:tc>
          <w:tcPr>
            <w:tcW w:w="2551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Материально обеспечивают летнюю оздоровительную кампанию. Контролирует выполнение инструкций по охране здоровья детей</w:t>
            </w:r>
          </w:p>
        </w:tc>
        <w:tc>
          <w:tcPr>
            <w:tcW w:w="3015" w:type="dxa"/>
          </w:tcPr>
          <w:p w:rsidR="00F6137E" w:rsidRPr="00F6137E" w:rsidRDefault="00F6137E" w:rsidP="002E5F8A">
            <w:pPr>
              <w:spacing w:before="10"/>
              <w:rPr>
                <w:color w:val="244061" w:themeColor="accent1" w:themeShade="80"/>
              </w:rPr>
            </w:pPr>
            <w:r w:rsidRPr="00F6137E">
              <w:rPr>
                <w:color w:val="244061" w:themeColor="accent1" w:themeShade="80"/>
              </w:rPr>
              <w:t>Соблюдают требования, предъявляемые детским садом: к одежде, - головным уборам, питанию. Организуют активный отдых ребенка в выходные дни.</w:t>
            </w:r>
          </w:p>
        </w:tc>
      </w:tr>
    </w:tbl>
    <w:p w:rsidR="00F6137E" w:rsidRPr="00F6137E" w:rsidRDefault="00F6137E" w:rsidP="00F6137E">
      <w:pPr>
        <w:rPr>
          <w:color w:val="244061" w:themeColor="accent1" w:themeShade="80"/>
          <w:sz w:val="28"/>
          <w:szCs w:val="28"/>
        </w:rPr>
      </w:pPr>
    </w:p>
    <w:p w:rsidR="00417EBB" w:rsidRPr="00F6137E" w:rsidRDefault="00417EBB">
      <w:pPr>
        <w:rPr>
          <w:color w:val="244061" w:themeColor="accent1" w:themeShade="80"/>
        </w:rPr>
      </w:pPr>
    </w:p>
    <w:sectPr w:rsidR="00417EBB" w:rsidRPr="00F6137E" w:rsidSect="00F613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09F"/>
    <w:multiLevelType w:val="multilevel"/>
    <w:tmpl w:val="AC802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37E"/>
    <w:rsid w:val="00417EBB"/>
    <w:rsid w:val="00D73A95"/>
    <w:rsid w:val="00F6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2017-07-13T08:08:00Z</dcterms:created>
  <dcterms:modified xsi:type="dcterms:W3CDTF">2017-07-13T08:09:00Z</dcterms:modified>
</cp:coreProperties>
</file>